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ACD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ТЕХНИЧЕСКОЕ ЗАДАНИЕ</w:t>
      </w:r>
    </w:p>
    <w:p w:rsidR="00BC3ACD" w:rsidRDefault="00BC3AC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440" w:type="dxa"/>
        <w:tblInd w:w="-32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7982"/>
      </w:tblGrid>
      <w:tr w:rsidR="00BC3ACD">
        <w:trPr>
          <w:trHeight w:val="200"/>
        </w:trPr>
        <w:tc>
          <w:tcPr>
            <w:tcW w:w="10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left w:w="13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Техническое задание</w:t>
            </w:r>
          </w:p>
        </w:tc>
      </w:tr>
      <w:tr w:rsidR="00BC3ACD">
        <w:trPr>
          <w:trHeight w:val="336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Нанимающий офис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Страновой офис ЮНФПА в Казахстане</w:t>
            </w:r>
          </w:p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Региональный офис ЮНЕСКО в Алматы</w:t>
            </w:r>
          </w:p>
        </w:tc>
      </w:tr>
      <w:tr w:rsidR="00BC3ACD">
        <w:trPr>
          <w:trHeight w:val="399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Цели и задачи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189"/>
              </w:tabs>
              <w:ind w:firstLine="39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Проведение социологического исследования по изучению состояния репродуктивного здоровья подростков и молодых людей 15-19 и 20-24 лет, их сексуального поведения и доступа к информации и услугам по охране репродуктивного здоровья </w:t>
            </w:r>
          </w:p>
          <w:p w:rsidR="00BC3ACD" w:rsidRDefault="00BC3ACD">
            <w:pPr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5964"/>
                <w:tab w:val="left" w:pos="6248"/>
                <w:tab w:val="left" w:pos="6532"/>
                <w:tab w:val="left" w:pos="6816"/>
                <w:tab w:val="left" w:pos="7100"/>
                <w:tab w:val="left" w:pos="7384"/>
                <w:tab w:val="left" w:pos="7668"/>
                <w:tab w:val="left" w:pos="7952"/>
                <w:tab w:val="left" w:pos="8236"/>
                <w:tab w:val="left" w:pos="8520"/>
                <w:tab w:val="left" w:pos="8804"/>
                <w:tab w:val="left" w:pos="9088"/>
                <w:tab w:val="left" w:pos="9189"/>
              </w:tabs>
              <w:ind w:firstLine="3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 2018 году ЮНФПА поддержал проведение социологического исследования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состояния репродуктивного здоровья подростков и молодых людей и их доступа к информации и услугам по охране репродуктивного здоровья. 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Результаты этого исследования</w:t>
              </w:r>
            </w:hyperlink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выявили низкий уровень знаний и недостаточный уровень доступа молодых людей к услугам по охране репродуктивного здоровья. Это было учтено при разработке и реализации </w:t>
            </w:r>
            <w:r>
              <w:rPr>
                <w:rFonts w:ascii="Arial" w:eastAsia="Arial" w:hAnsi="Arial" w:cs="Arial"/>
                <w:sz w:val="18"/>
                <w:szCs w:val="18"/>
              </w:rPr>
              <w:t>Страновой программы ЮНФПА для Казахстана на 2021-2025 годы, направленной на продвижение всеобщего доступа населения (в т.ч. подростков и молодых людей) к информации и услугам по охране сексуального и репродуктивного здоровья.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этой связи, в 2019-2023 гг. ЮНФПА оказал техническую помощь Министерству здравоохранения Республики Казахстан по созданию национальной сети молодежных центров здоровья (МЦЗ), что предусматривало: снижение возраста, с которого молодые люди могут обращаться за получением медицинской помощи без согласия родителей с 18 до 16 лет; разработка пакета подзаконных актов, регулирующих деятельность молодежных центров здоровья; пакета методических материалов; повышения потенциала более 500 врачей. В итоге, услуги МЦЗ были включены в пакет обязательного социального медицинского страхования, на которые из государственного бюджета на 2021-2025 гг. предусмотрено 15,9 млрд.тенге.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Кроме того, результаты вышеуказанного исследования были использованы ЮНФПА при продвижении различных инициатив в отношении подростков и молодежи, в т.ч.  внедрение в организациях образования нравственно-полового воспитания; волонтерское молодежное движение Y-Peer; противодействие распространению ИППП, в т.ч. ВИЧ-инфекции; а также информирование молодых людей и их родителей о сексуальном и репродуктивном здоровье при помощи информационного ресурса Shyn.kz.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Наряду с этим, развитие образовательных программ по сохранению сексуального и репродуктивного здоровья (СРЗ), профилактики ВИЧ/ИППП и продвижение здорового образа жизни через образование является предметом деятельности Регионального офиса ЮНЕСКО в Алматы.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 2022–2023 годах, ЮНЕСКО реализовала в Казахстане несколько проектов, призванных повысить осведомленность молодых людей о профилактике и лечении ВИЧ и ИППП, снизить стигму и дискриминацию в отношении людей, живущих с ВИЧ. Среди таких проектов - разработка и продвижение работающего с помощью искусственного интеллекта чатбота ASPAN для молодежи и подростков, информационные кампании и ролики с участием медийных личностей, исследование в области медиа потребления среди ключевых групп населения, разработка коммуникационной стратегии и информационных материалов, выпуск фильма PLUS, рассказывающего о людях, живущих с ВИЧ, и др. Кроме этого, при поддержке ЮНЕСКО было разработаны пособие для учителей и образовательные видеоматериалы по биологии, глобальным компетенциям, основам права и т.д., направленные на формирование здорового образа жизни и развитие личностных и социальных навыков учащихся 5-11 классов.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Данное исследование будет проводится совместно Страновым офисом ЮНФПА в Казахстане и Региональным офисом ЮНЕСКО в Алматы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C3ACD" w:rsidRDefault="00000000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Результаты настоящего социологического исследования будут использованы:</w:t>
            </w:r>
          </w:p>
          <w:p w:rsidR="00BC3ACD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ЮНФПА для оценки прогресса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реализации </w:t>
            </w:r>
            <w:r>
              <w:rPr>
                <w:rFonts w:ascii="Arial" w:eastAsia="Arial" w:hAnsi="Arial" w:cs="Arial"/>
                <w:sz w:val="18"/>
                <w:szCs w:val="18"/>
              </w:rPr>
              <w:t>Страновой программы для Казахстана на 2021-2025 годы и разработки новой Страновой программы на 2026-2030 годы;</w:t>
            </w:r>
          </w:p>
          <w:p w:rsidR="00BC3ACD" w:rsidRDefault="0000000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ЮНЕСКО для определения приоритетных направлений совершенствования образовательных и просветительских программ для подростков и молодежи, а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также для формирования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глобальной отчетности по вопросам противодействия эпидемии ВИЧ/СПИДа.</w:t>
            </w:r>
          </w:p>
          <w:p w:rsidR="00BC3ACD" w:rsidRDefault="00BC3ACD">
            <w:pPr>
              <w:ind w:firstLine="40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rPr>
          <w:trHeight w:val="552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Описание объема работы, мероприятий</w:t>
            </w: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Настоящее задание предполагает проведение социологического исследования согласно следующей методологии.</w:t>
            </w:r>
          </w:p>
          <w:p w:rsidR="00BC3ACD" w:rsidRDefault="00BC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9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Цель исследования: 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Оценить состояние сексуального и репродуктивного здоровья подростков и молодых людей 15-19 и 20-24 лет, их сексуальное поведение и доступ к услугам и информации в области сексуального и репродуктивного здоровья. 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Задачи исследования: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 Получить данные о состоянии сексуального и репродуктивного здоровья, доступе к информации и услугам охраны репродуктивного здоровья, распространенности небезопасного поведения и степени осведомленности о способах защиты от нежелательной беременности и передачи ИППП/ВИЧ у подростков и молодых людей 15-19 и 20-24 лет, согласно типовой анкете. 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Вычислить следующие индикаторы состояния сексуального и репродуктивного здоровья, согласно списку показателей и анкете для опроса молодых людей; представить показатели в разрезе пола, возраста и места жительства (город/село):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опыта половой жизни.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Средний возраст начала половых отношений.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Доля молодых людей, у которых были половые контакты в возрасте до 16 лет, 17 и до 18 лет.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одного полового партнера.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более одного полового партнера.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Использование презерватива во время последнего полового контакта.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Частота вступления в половые контакты.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Причины, по которым люди откладывают вступление в половые отношения.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беременности среди девушек.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беременности среди девушек, вступавших в половые контакты.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Распространенность искусственных абортов, сделанных в домашних условиях, среди девушек-подростков.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Тестирование на ВИЧ-инфекцию.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Наличие симптомов ИППП.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Отсутствие стигмы в отношении людей, живущих с ВИЧ.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Правильные всесторонние знания о ВИЧ/СПИД.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Информированность об использовании презервативов.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Осведомленность о лечении ИППП.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Доступность информации о сексуальном и репродуктивном здоровье, включая о ВИЧ-инфекции и ИППП.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Неудовлетворенные нужды в предупреждении беременности с помощью современных методов контрацепции.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Доля молодых людей, которые заявили, что презервативы недоступны.</w:t>
            </w:r>
          </w:p>
          <w:p w:rsidR="00BC3AC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Доля молодых людей с симптомами ИППП, получивших соответствующие услуги по диагностике, лечению и консультированию в организациях здравоохранения.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Оценить связи между распространенностью небезопасного поведения и уровнем знаний молодых людей и представить данные в разрезе пола, возраста и места проживания (город/село).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Инструментарий для исследования: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прилагаемая анкета - опросник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Целевая группа: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Подростки и молодые люди в возрасте 15-19 и 20-24 лет.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Выборка: 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Исполнитель должен рассчитать минимально допустимый размер выборки отдельно для когорт 15-19 лет и 20-24 года, которая обеспечит не менее 95% достоверность.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Метод исследования: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Анкетный опрос.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География исследования: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Исследование должно охватить как минимум 8 областей и городов республиканского значения. Исполнитель предложит перечень регионов, которые будут охвачены исследованием и которые будут удовлетворять критериям репрезентативности.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Подготовка итогового отчета: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Отчет должен содержать как результаты настоящего опроса, так и основные изменения по вышеуказанным индикаторам в сравнении с 2018 годом. </w:t>
            </w:r>
          </w:p>
          <w:p w:rsidR="00BC3ACD" w:rsidRDefault="00000000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 отчету также должны прилагаться результаты обследования в следующих форматах:</w:t>
            </w:r>
          </w:p>
          <w:p w:rsidR="00BC3AC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электронные файлы с результатами опроса (SPSS или аналог) для воспроизведения и сопоставления результатов;</w:t>
            </w:r>
          </w:p>
          <w:p w:rsidR="00BC3AC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таблицы в формате Excel, в разрезах пол, возраст, национальность, язык обучения, место проживания;</w:t>
            </w:r>
          </w:p>
          <w:p w:rsidR="00BC3AC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9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графики и таблицы в формате Excel, которые были включены в текст отчета. </w:t>
            </w:r>
          </w:p>
          <w:p w:rsidR="00BC3ACD" w:rsidRDefault="00BC3ACD">
            <w:pPr>
              <w:ind w:firstLine="3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BC3AC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C3ACD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Продолжительность задания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апреля – 30 октября 2024 года</w:t>
            </w: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Место оказания услуг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Астана (Республика Казахстан)</w:t>
            </w: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rPr>
          <w:trHeight w:val="1134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Срок исполнения задания 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BC3ACD">
            <w:pPr>
              <w:tabs>
                <w:tab w:val="left" w:pos="0"/>
              </w:tabs>
              <w:ind w:firstLine="2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Предоставление доработанной анкеты-опросник и методологии исследования.</w:t>
            </w:r>
          </w:p>
          <w:p w:rsidR="00BC3AC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Проведение социологического опроса: до 15 июня 2024 года.</w:t>
            </w:r>
          </w:p>
          <w:p w:rsidR="00BC3AC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Предварительный расчет индикаторов: к 30 июня 2024 года.</w:t>
            </w:r>
          </w:p>
          <w:p w:rsidR="00BC3AC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Предоставление результатов опроса: к 30 июля 2024 года.</w:t>
            </w:r>
          </w:p>
          <w:p w:rsidR="00BC3AC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Предоставление финального аналитического отчета (включающий: текстовой документ; презентация в формате ppt; а также графики и таблицы в формате Excel, которые были включены в текст) на русском и казахском языках: к 30 сентября 2024 года.</w:t>
            </w:r>
          </w:p>
          <w:p w:rsidR="00BC3ACD" w:rsidRDefault="00BC3ACD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BC3ACD">
        <w:trPr>
          <w:trHeight w:val="1134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Ответственность исполнителя и отчетность 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Исполнитель работ: 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несет полную ответственность за достоверность и правомерность предоставляемой информации и за своевременное предоставление отчетов;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согласовывает свои действия с представителем ЮНФПА и ЮНЕСКО, осуществляющим мониторинг проекта;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сотрудничает с национальными партнерами проекта;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обеспечивает безусловное выполнение требований, оговоренных в контракте и техническом задании;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вправе предоставлять результаты исследования сторонним субъектам;</w:t>
            </w:r>
          </w:p>
          <w:p w:rsidR="00BC3AC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все права на результаты исследования принадлежат ЮНФПА и ЮНЕСКО.</w:t>
            </w:r>
          </w:p>
          <w:p w:rsidR="00BC3ACD" w:rsidRDefault="00BC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Отчеты и материалы будут предоставлены в ЮНФПА и ЮНЕСКО в электронном виде:</w:t>
            </w:r>
          </w:p>
          <w:p w:rsidR="00BC3ACD" w:rsidRDefault="00BC3A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Финальный аналитический отчет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результатам исследования (сверстаны в форматах MS WORD и pdf) на русском и казахском языках;</w:t>
            </w:r>
          </w:p>
          <w:p w:rsidR="00BC3AC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Результаты и выводы социологического исследования в формате Power Point Presentation, на русском и казахском языках;</w:t>
            </w:r>
          </w:p>
          <w:p w:rsidR="00BC3AC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Графики и таблицы, которые были включены в текст финального аналитического отчета в формате Excel (результаты опроса в разрезах пол, возраст, национальность, язык обучения, место проживания), на русском и казахском языках;</w:t>
            </w:r>
          </w:p>
          <w:p w:rsidR="00BC3AC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первичные данные исследования (база данных в SPSS).</w:t>
            </w:r>
          </w:p>
          <w:p w:rsidR="00BC3ACD" w:rsidRDefault="00BC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C3A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Оригиналы заполненных бумажных анкет хранятся в офисе Исполнителя в течение 2-х лет и должны быть предоставлены ЮНФПА или ЮНЕСКО по требованию. </w:t>
            </w:r>
          </w:p>
          <w:p w:rsidR="00BC3ACD" w:rsidRDefault="00BC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Если результаты не будут представлены вовремя и не будут соответствовать ожидаемому качеству, ЮНФПА оставляет за собой право снизить гонорар консультантов на 10%.</w:t>
            </w:r>
          </w:p>
          <w:p w:rsidR="00BC3ACD" w:rsidRDefault="00BC3AC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rPr>
          <w:trHeight w:val="552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Мониторинг проекта  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alatino" w:eastAsia="Palatino" w:hAnsi="Palatino" w:cs="Palatin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Координация и мониторинг работы будет обеспечена Сериком Танирбергеновым, национальным программным аналитиком ЮНФПА по сексуальному и репродуктивному здоровью и Мейргуль Алпысбаевой, национальным специалистом по программе образования Регионального офиса ЮНЕСКО в Алматы. </w:t>
            </w:r>
          </w:p>
        </w:tc>
      </w:tr>
      <w:tr w:rsidR="00BC3ACD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Ожидаемые поездки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Перечень регионов по согласованию с ЮНФПА </w:t>
            </w:r>
          </w:p>
        </w:tc>
      </w:tr>
      <w:tr w:rsidR="00BC3ACD"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Требуемый опыт и квалификация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BC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ind w:left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работы в области социологических наук или консалтинговых услуг не менее 5 лет;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квалифицированного персонала с высшим образованием в области социологии и смежных наук с соответствующим опытом работы (не менее 5-ти лет для руководителей проектов, не менее 2-х лет для остального персонала);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подтвержденный опыт работы в области социологических опросов и в подготовке аналитических отчетов, рекомендаций и презентаций на основе проведенных опросов (перечень проведенных исследований за последние 5 лет);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специальных прикладных программ для обработки количественных и качественных данных;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представительств или сети интервьюеров во всех регионах Казахстана, в т.ч. владеющих казахским языком;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членство в международных и казахстанских профессиональных организациях;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координирования социальных проектов в сфере репродуктивного здоровья будет преимуществом;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опыт работы с агентствами ООН будет преимуществом;</w:t>
            </w:r>
          </w:p>
          <w:p w:rsidR="00BC3AC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36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наличие рекомендаций от предприятий, организаций и других заказчиков.</w:t>
            </w:r>
          </w:p>
          <w:p w:rsidR="00BC3ACD" w:rsidRDefault="00BC3ACD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rPr>
          <w:trHeight w:val="836"/>
        </w:trPr>
        <w:tc>
          <w:tcPr>
            <w:tcW w:w="2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Вклад ЮНФПА</w:t>
            </w:r>
          </w:p>
        </w:tc>
        <w:tc>
          <w:tcPr>
            <w:tcW w:w="7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61" w:type="dxa"/>
            </w:tcMar>
          </w:tcPr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ЮНФПА и ЮНЕСКО предоставят письма поддержки от Министерства здравоохранения, Министерства просвещения и Министерства науки и высшего образования Республики Казахстан.</w:t>
            </w: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000000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ЮНФПА предоставит доступ к результатам предыдущего социологического опроса. </w:t>
            </w: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BC3ACD" w:rsidRDefault="00BC3ACD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C3ACD">
        <w:trPr>
          <w:trHeight w:val="783"/>
        </w:trPr>
        <w:tc>
          <w:tcPr>
            <w:tcW w:w="10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1" w:type="dxa"/>
            </w:tcMar>
          </w:tcPr>
          <w:p w:rsidR="00BC3ACD" w:rsidRDefault="00000000">
            <w:pPr>
              <w:tabs>
                <w:tab w:val="left" w:pos="-72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Подпись: </w:t>
            </w:r>
          </w:p>
          <w:p w:rsidR="00BC3ACD" w:rsidRDefault="00BC3ACD">
            <w:pPr>
              <w:tabs>
                <w:tab w:val="left" w:pos="-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C3A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Дата:</w:t>
            </w:r>
          </w:p>
        </w:tc>
      </w:tr>
    </w:tbl>
    <w:p w:rsidR="00BC3ACD" w:rsidRDefault="00BC3ACD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19"/>
          <w:szCs w:val="19"/>
        </w:rPr>
      </w:pPr>
    </w:p>
    <w:p w:rsidR="00BC3ACD" w:rsidRDefault="00BC3ACD">
      <w:pPr>
        <w:rPr>
          <w:rFonts w:ascii="Arial" w:eastAsia="Arial" w:hAnsi="Arial" w:cs="Arial"/>
          <w:b/>
          <w:color w:val="222222"/>
          <w:sz w:val="19"/>
          <w:szCs w:val="19"/>
        </w:rPr>
      </w:pPr>
    </w:p>
    <w:p w:rsidR="00BC3ACD" w:rsidRDefault="00000000">
      <w:pPr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rFonts w:ascii="Arial" w:eastAsia="Arial" w:hAnsi="Arial" w:cs="Arial"/>
          <w:b/>
          <w:color w:val="222222"/>
          <w:sz w:val="19"/>
          <w:szCs w:val="19"/>
        </w:rPr>
        <w:t xml:space="preserve">Приложение: Анкета – опросник </w:t>
      </w:r>
    </w:p>
    <w:p w:rsidR="00BC3ACD" w:rsidRDefault="00BC3ACD">
      <w:pPr>
        <w:rPr>
          <w:rFonts w:ascii="Arial" w:eastAsia="Arial" w:hAnsi="Arial" w:cs="Arial"/>
          <w:b/>
          <w:color w:val="222222"/>
          <w:sz w:val="19"/>
          <w:szCs w:val="19"/>
        </w:rPr>
      </w:pPr>
    </w:p>
    <w:p w:rsidR="00BC3ACD" w:rsidRDefault="00BC3ACD">
      <w:pPr>
        <w:rPr>
          <w:rFonts w:ascii="Arial" w:eastAsia="Arial" w:hAnsi="Arial" w:cs="Arial"/>
          <w:b/>
          <w:color w:val="222222"/>
          <w:sz w:val="19"/>
          <w:szCs w:val="19"/>
        </w:rPr>
      </w:pPr>
    </w:p>
    <w:sectPr w:rsidR="00BC3ACD">
      <w:footerReference w:type="default" r:id="rId8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D52" w:rsidRDefault="000F3D52">
      <w:r>
        <w:separator/>
      </w:r>
    </w:p>
  </w:endnote>
  <w:endnote w:type="continuationSeparator" w:id="0">
    <w:p w:rsidR="000F3D52" w:rsidRDefault="000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A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</w:pPr>
    <w:r>
      <w:fldChar w:fldCharType="begin"/>
    </w:r>
    <w:r>
      <w:instrText>PAGE</w:instrText>
    </w:r>
    <w:r>
      <w:fldChar w:fldCharType="separate"/>
    </w:r>
    <w:r w:rsidR="00743594">
      <w:rPr>
        <w:noProof/>
      </w:rPr>
      <w:t>1</w:t>
    </w:r>
    <w:r>
      <w:fldChar w:fldCharType="end"/>
    </w:r>
  </w:p>
  <w:p w:rsidR="00BC3ACD" w:rsidRDefault="00BC3AC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D52" w:rsidRDefault="000F3D52">
      <w:r>
        <w:separator/>
      </w:r>
    </w:p>
  </w:footnote>
  <w:footnote w:type="continuationSeparator" w:id="0">
    <w:p w:rsidR="000F3D52" w:rsidRDefault="000F3D52">
      <w:r>
        <w:continuationSeparator/>
      </w:r>
    </w:p>
  </w:footnote>
  <w:footnote w:id="1">
    <w:p w:rsidR="00BC3ACD" w:rsidRDefault="00000000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в рамках программы UBRAF, а также по запросу Национальной комиссии по рассмотрению заявок на финансирование проектов по ВИЧ от агентств ООН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FA6"/>
    <w:multiLevelType w:val="multilevel"/>
    <w:tmpl w:val="0ACA60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154DE"/>
    <w:multiLevelType w:val="multilevel"/>
    <w:tmpl w:val="2AD6B1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205"/>
    <w:multiLevelType w:val="multilevel"/>
    <w:tmpl w:val="128613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1D7F57"/>
    <w:multiLevelType w:val="multilevel"/>
    <w:tmpl w:val="01D0F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C05A0A"/>
    <w:multiLevelType w:val="multilevel"/>
    <w:tmpl w:val="D0C6BF1E"/>
    <w:lvl w:ilvl="0">
      <w:start w:val="1"/>
      <w:numFmt w:val="decimal"/>
      <w:lvlText w:val="%1)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3D63483F"/>
    <w:multiLevelType w:val="multilevel"/>
    <w:tmpl w:val="93A6C8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E8767D"/>
    <w:multiLevelType w:val="multilevel"/>
    <w:tmpl w:val="BFF25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978562">
    <w:abstractNumId w:val="3"/>
  </w:num>
  <w:num w:numId="2" w16cid:durableId="1355303842">
    <w:abstractNumId w:val="0"/>
  </w:num>
  <w:num w:numId="3" w16cid:durableId="1791820941">
    <w:abstractNumId w:val="5"/>
  </w:num>
  <w:num w:numId="4" w16cid:durableId="1602107484">
    <w:abstractNumId w:val="6"/>
  </w:num>
  <w:num w:numId="5" w16cid:durableId="599071512">
    <w:abstractNumId w:val="1"/>
  </w:num>
  <w:num w:numId="6" w16cid:durableId="586614982">
    <w:abstractNumId w:val="4"/>
  </w:num>
  <w:num w:numId="7" w16cid:durableId="168933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CD"/>
    <w:rsid w:val="000F3D52"/>
    <w:rsid w:val="00743594"/>
    <w:rsid w:val="00B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B2C0B-1954-4EF4-A085-F805476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color w:val="00000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31" w:type="dxa"/>
        <w:right w:w="17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zakhstan.unfpa.org/ru/publications/%D1%81%D0%BE%D1%86%D0%B8%D0%BE%D0%BB%D0%BE%D0%B3%D0%B8%D1%87%D0%B5%D1%81%D0%BA%D0%BE%D0%B5-%D0%B8%D1%81%D1%81%D0%BB%D0%B5%D0%B4%D0%BE%D0%B2%D0%B0%D0%BD%D0%B8%D0%B5-%D1%80%D0%B5%D0%BF%D1%80%D0%BE%D0%B4%D1%83%D0%BA%D1%82%D0%B8%D0%B2%D0%BD%D0%BE%D0%B3%D0%BE-%D0%B7%D0%B4%D0%BE%D1%80%D0%BE%D0%B2%D1%8C%D1%8F-%D0%BF%D0%BE%D0%B4%D1%80%D0%BE%D1%81%D1%82%D0%BA%D0%BE%D0%B2-15-19-%D0%BB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10169</Characters>
  <Application>Microsoft Office Word</Application>
  <DocSecurity>0</DocSecurity>
  <Lines>242</Lines>
  <Paragraphs>124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Makasheva</dc:creator>
  <cp:lastModifiedBy>Nurgul Makasheva</cp:lastModifiedBy>
  <cp:revision>2</cp:revision>
  <dcterms:created xsi:type="dcterms:W3CDTF">2024-03-14T10:40:00Z</dcterms:created>
  <dcterms:modified xsi:type="dcterms:W3CDTF">2024-03-14T10:40:00Z</dcterms:modified>
</cp:coreProperties>
</file>